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649" w:tblpY="90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07F6C" w:rsidTr="009D06AA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207F6C" w:rsidRDefault="00207F6C" w:rsidP="009D06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B6D1CC" wp14:editId="2D9B4192">
                  <wp:extent cx="5057775" cy="9048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F6C" w:rsidRPr="001A3CCF" w:rsidTr="009D06AA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26F" w:rsidRPr="001A3CCF" w:rsidRDefault="0010126F" w:rsidP="009D06AA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10126F" w:rsidRPr="001A3CCF" w:rsidRDefault="00207F6C" w:rsidP="009D06A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1A3CCF">
              <w:rPr>
                <w:rFonts w:asciiTheme="majorHAnsi" w:hAnsiTheme="majorHAnsi"/>
                <w:i/>
                <w:sz w:val="20"/>
                <w:szCs w:val="20"/>
              </w:rPr>
              <w:t>Acadia University is recognized as one of Canada’s premier undergraduate institutions. Academic innovation and a technology-rich teaching and learning</w:t>
            </w:r>
            <w:r w:rsidR="008104A1" w:rsidRPr="001A3CCF">
              <w:rPr>
                <w:rFonts w:asciiTheme="majorHAnsi" w:hAnsiTheme="majorHAnsi"/>
                <w:i/>
                <w:sz w:val="20"/>
                <w:szCs w:val="20"/>
              </w:rPr>
              <w:t xml:space="preserve"> environment have garnered the university a reputation for excellence.</w:t>
            </w:r>
            <w:r w:rsidR="0010126F" w:rsidRPr="001A3CCF">
              <w:rPr>
                <w:rFonts w:asciiTheme="majorHAnsi" w:hAnsiTheme="majorHAnsi"/>
                <w:i/>
                <w:sz w:val="20"/>
                <w:szCs w:val="20"/>
              </w:rPr>
              <w:t xml:space="preserve">  </w:t>
            </w:r>
            <w:r w:rsidRPr="001A3CCF">
              <w:rPr>
                <w:rFonts w:asciiTheme="majorHAnsi" w:hAnsiTheme="majorHAnsi"/>
                <w:i/>
                <w:sz w:val="20"/>
                <w:szCs w:val="20"/>
              </w:rPr>
              <w:t>Our progressive workplace is located only one hour from Halifax in Nova Scotia's beautiful Annapolis Valley - a small-town setting offering an affordable lifestyle, outstanding recreational opportuni</w:t>
            </w:r>
            <w:r w:rsidR="008104A1" w:rsidRPr="001A3CCF">
              <w:rPr>
                <w:rFonts w:asciiTheme="majorHAnsi" w:hAnsiTheme="majorHAnsi"/>
                <w:i/>
                <w:sz w:val="20"/>
                <w:szCs w:val="20"/>
              </w:rPr>
              <w:t xml:space="preserve">ties, internationally acclaimed </w:t>
            </w:r>
            <w:r w:rsidRPr="001A3CCF">
              <w:rPr>
                <w:rFonts w:asciiTheme="majorHAnsi" w:hAnsiTheme="majorHAnsi"/>
                <w:i/>
                <w:sz w:val="20"/>
                <w:szCs w:val="20"/>
              </w:rPr>
              <w:t>restaurants, a healthy economy, and the best weat</w:t>
            </w:r>
            <w:r w:rsidR="0010126F" w:rsidRPr="001A3CCF">
              <w:rPr>
                <w:rFonts w:asciiTheme="majorHAnsi" w:hAnsiTheme="majorHAnsi"/>
                <w:i/>
                <w:sz w:val="20"/>
                <w:szCs w:val="20"/>
              </w:rPr>
              <w:t xml:space="preserve">her in the Atlantic Provinces. </w:t>
            </w:r>
          </w:p>
          <w:p w:rsidR="008104A1" w:rsidRPr="001A3CCF" w:rsidRDefault="008104A1" w:rsidP="009D06AA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8104A1" w:rsidRPr="001A3CCF" w:rsidTr="009D06AA">
        <w:trPr>
          <w:trHeight w:val="2618"/>
        </w:trPr>
        <w:tc>
          <w:tcPr>
            <w:tcW w:w="1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4A1" w:rsidRPr="001A3CCF" w:rsidRDefault="008104A1" w:rsidP="009D06A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C64A7D" w:rsidRPr="001A3CCF" w:rsidRDefault="00C64A7D" w:rsidP="009D06AA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1A3CCF">
              <w:rPr>
                <w:rFonts w:asciiTheme="majorHAnsi" w:hAnsiTheme="majorHAnsi" w:cs="Times New Roman"/>
                <w:b/>
              </w:rPr>
              <w:t xml:space="preserve">Faculty of </w:t>
            </w:r>
            <w:r w:rsidR="000B0BA7" w:rsidRPr="001A3CCF">
              <w:rPr>
                <w:rFonts w:asciiTheme="majorHAnsi" w:hAnsiTheme="majorHAnsi" w:cs="Times New Roman"/>
                <w:b/>
              </w:rPr>
              <w:t>Science</w:t>
            </w:r>
          </w:p>
          <w:p w:rsidR="00C64A7D" w:rsidRPr="001A3CCF" w:rsidRDefault="003B19BD" w:rsidP="009D06AA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The Ivan Curry School of Engineering</w:t>
            </w:r>
          </w:p>
          <w:p w:rsidR="00C64A7D" w:rsidRPr="001A3CCF" w:rsidRDefault="003B19BD" w:rsidP="009D06A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lang w:val="en-CA"/>
              </w:rPr>
              <w:t>Instructor I</w:t>
            </w:r>
          </w:p>
          <w:p w:rsidR="00C64A7D" w:rsidRPr="001A3CCF" w:rsidRDefault="00C64A7D" w:rsidP="009D06A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3B19BD" w:rsidRDefault="003B19BD" w:rsidP="003B19BD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466B72">
              <w:rPr>
                <w:rFonts w:asciiTheme="majorHAnsi" w:hAnsiTheme="majorHAnsi"/>
                <w:b/>
                <w:sz w:val="20"/>
                <w:szCs w:val="20"/>
                <w:lang w:val="en-CA"/>
              </w:rPr>
              <w:t xml:space="preserve">Position # </w:t>
            </w:r>
            <w:r>
              <w:rPr>
                <w:rFonts w:asciiTheme="majorHAnsi" w:hAnsiTheme="majorHAnsi"/>
                <w:b/>
                <w:sz w:val="20"/>
                <w:szCs w:val="20"/>
                <w:lang w:val="en-CA"/>
              </w:rPr>
              <w:t>20406CLTI</w:t>
            </w:r>
            <w:r w:rsidRPr="00466B72">
              <w:rPr>
                <w:rFonts w:asciiTheme="majorHAnsi" w:hAnsiTheme="majorHAnsi"/>
                <w:b/>
                <w:sz w:val="20"/>
                <w:szCs w:val="20"/>
                <w:lang w:val="en-CA"/>
              </w:rPr>
              <w:t xml:space="preserve"> – </w:t>
            </w:r>
            <w:r w:rsidRPr="00466B72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The 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Ivan Curry School of Engineering invites applications for </w:t>
            </w:r>
            <w:r w:rsidRPr="00466B72">
              <w:rPr>
                <w:rFonts w:asciiTheme="majorHAnsi" w:hAnsiTheme="majorHAnsi"/>
                <w:sz w:val="20"/>
                <w:szCs w:val="20"/>
                <w:lang w:val="en-CA"/>
              </w:rPr>
              <w:t>a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9.5 </w:t>
            </w:r>
            <w:r w:rsidRPr="00466B72">
              <w:rPr>
                <w:rFonts w:asciiTheme="majorHAnsi" w:hAnsiTheme="majorHAnsi"/>
                <w:sz w:val="20"/>
                <w:szCs w:val="20"/>
                <w:lang w:val="en-CA"/>
              </w:rPr>
              <w:t>month contractually limited position</w:t>
            </w:r>
            <w:r w:rsidRPr="00466B72">
              <w:rPr>
                <w:rFonts w:asciiTheme="majorHAnsi" w:hAnsiTheme="majorHAnsi"/>
                <w:b/>
                <w:sz w:val="20"/>
                <w:szCs w:val="20"/>
                <w:lang w:val="en-CA"/>
              </w:rPr>
              <w:t xml:space="preserve"> </w:t>
            </w:r>
            <w:r w:rsidRPr="00802E37">
              <w:rPr>
                <w:rFonts w:asciiTheme="majorHAnsi" w:hAnsiTheme="majorHAnsi"/>
                <w:sz w:val="20"/>
                <w:szCs w:val="20"/>
                <w:lang w:val="en-CA"/>
              </w:rPr>
              <w:t>as Laboratory Demonstrator/Workshop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</w:t>
            </w:r>
            <w:r w:rsidRPr="00802E37">
              <w:rPr>
                <w:rFonts w:asciiTheme="majorHAnsi" w:hAnsiTheme="majorHAnsi"/>
                <w:sz w:val="20"/>
                <w:szCs w:val="20"/>
                <w:lang w:val="en-CA"/>
              </w:rPr>
              <w:t>Supervisor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at the rank of Instructor I </w:t>
            </w:r>
            <w:r w:rsidRPr="00C651FA">
              <w:rPr>
                <w:rFonts w:asciiTheme="majorHAnsi" w:hAnsiTheme="majorHAnsi"/>
                <w:sz w:val="20"/>
                <w:szCs w:val="20"/>
                <w:lang w:val="en-CA"/>
              </w:rPr>
              <w:t>commenc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>ing</w:t>
            </w:r>
            <w:r w:rsidRPr="00C651FA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August 1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>,</w:t>
            </w:r>
            <w:r w:rsidRPr="00C651FA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2015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>. The successful applicant will be responsible for overseeing student work in the various laboratories in the School of Engineering and associated I</w:t>
            </w:r>
            <w:r w:rsidRPr="00802E37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nterdepartmental 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>W</w:t>
            </w:r>
            <w:r w:rsidRPr="00802E37">
              <w:rPr>
                <w:rFonts w:asciiTheme="majorHAnsi" w:hAnsiTheme="majorHAnsi"/>
                <w:sz w:val="20"/>
                <w:szCs w:val="20"/>
                <w:lang w:val="en-CA"/>
              </w:rPr>
              <w:t>orkshop.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He/she may also be asked to teach a one term course in computer programming using the ‘C’ language in the second term. </w:t>
            </w:r>
            <w:r w:rsidRPr="008B73C0">
              <w:rPr>
                <w:rFonts w:asciiTheme="majorHAnsi" w:hAnsiTheme="majorHAnsi"/>
                <w:sz w:val="20"/>
                <w:szCs w:val="20"/>
              </w:rPr>
              <w:t xml:space="preserve">The ideal candidate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for the position </w:t>
            </w:r>
            <w:r w:rsidRPr="008B73C0">
              <w:rPr>
                <w:rFonts w:asciiTheme="majorHAnsi" w:hAnsiTheme="majorHAnsi"/>
                <w:sz w:val="20"/>
                <w:szCs w:val="20"/>
              </w:rPr>
              <w:t xml:space="preserve">would have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expertise and/or </w:t>
            </w:r>
            <w:r w:rsidRPr="008B73C0">
              <w:rPr>
                <w:rFonts w:asciiTheme="majorHAnsi" w:hAnsiTheme="majorHAnsi"/>
                <w:sz w:val="20"/>
                <w:szCs w:val="20"/>
              </w:rPr>
              <w:t xml:space="preserve">practical experience in </w:t>
            </w:r>
            <w:r>
              <w:rPr>
                <w:rFonts w:asciiTheme="majorHAnsi" w:hAnsiTheme="majorHAnsi"/>
                <w:sz w:val="20"/>
                <w:szCs w:val="20"/>
              </w:rPr>
              <w:t>the engineering design process,</w:t>
            </w:r>
            <w:r w:rsidRPr="008B73C0">
              <w:rPr>
                <w:rFonts w:asciiTheme="majorHAnsi" w:hAnsiTheme="majorHAnsi"/>
                <w:sz w:val="20"/>
                <w:szCs w:val="20"/>
              </w:rPr>
              <w:t xml:space="preserve"> the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use of CAD/programming software, the design and testing of electric/digital circuits and general workshop safety procedures. He/she would also have previously demonstrated proficiency in teaching in some capacity </w:t>
            </w:r>
            <w:r w:rsidRPr="008B73C0"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genuinely </w:t>
            </w:r>
            <w:r w:rsidRPr="008B73C0">
              <w:rPr>
                <w:rFonts w:asciiTheme="majorHAnsi" w:hAnsiTheme="majorHAnsi"/>
                <w:sz w:val="20"/>
                <w:szCs w:val="20"/>
              </w:rPr>
              <w:t xml:space="preserve">enjoy working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one-on-one </w:t>
            </w:r>
            <w:r w:rsidRPr="008B73C0">
              <w:rPr>
                <w:rFonts w:asciiTheme="majorHAnsi" w:hAnsiTheme="majorHAnsi"/>
                <w:sz w:val="20"/>
                <w:szCs w:val="20"/>
              </w:rPr>
              <w:t>with students.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A more detailed description of the responsibilities associated with this position is posted on the school’s web site at </w:t>
            </w:r>
            <w:hyperlink r:id="rId7" w:history="1">
              <w:r w:rsidRPr="003A3DBB">
                <w:rPr>
                  <w:rStyle w:val="Hyperlink"/>
                  <w:rFonts w:asciiTheme="majorHAnsi" w:hAnsiTheme="majorHAnsi"/>
                  <w:sz w:val="20"/>
                  <w:szCs w:val="20"/>
                  <w:lang w:val="en-CA"/>
                </w:rPr>
                <w:t>http://engineering.acadiau.ca/</w:t>
              </w:r>
            </w:hyperlink>
            <w:r>
              <w:rPr>
                <w:rFonts w:asciiTheme="majorHAnsi" w:hAnsiTheme="majorHAnsi"/>
                <w:sz w:val="20"/>
                <w:szCs w:val="20"/>
                <w:lang w:val="en-CA"/>
              </w:rPr>
              <w:t>.</w:t>
            </w:r>
          </w:p>
          <w:p w:rsidR="003B19BD" w:rsidRDefault="003B19BD" w:rsidP="003B19BD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:rsidR="003B19BD" w:rsidRDefault="003B19BD" w:rsidP="003B19B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A </w:t>
            </w:r>
            <w:r w:rsidRPr="008B73C0">
              <w:rPr>
                <w:rFonts w:asciiTheme="majorHAnsi" w:hAnsiTheme="majorHAnsi"/>
                <w:sz w:val="20"/>
                <w:szCs w:val="20"/>
              </w:rPr>
              <w:t xml:space="preserve">master’s degree </w:t>
            </w:r>
            <w:r>
              <w:rPr>
                <w:rFonts w:asciiTheme="majorHAnsi" w:hAnsiTheme="majorHAnsi"/>
                <w:sz w:val="20"/>
                <w:szCs w:val="20"/>
              </w:rPr>
              <w:t>is the normal minimum qualification for this position. However, because of the specialized nature of the skill set required, individuals with significant professional experience and/or training in the areas of expertise outlined above</w:t>
            </w:r>
            <w:bookmarkStart w:id="0" w:name="_GoBack"/>
            <w:bookmarkEnd w:id="0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75030">
              <w:rPr>
                <w:rFonts w:asciiTheme="majorHAnsi" w:hAnsiTheme="majorHAnsi"/>
                <w:sz w:val="20"/>
                <w:szCs w:val="20"/>
              </w:rPr>
              <w:t xml:space="preserve">but lacking the degree </w:t>
            </w:r>
            <w:r>
              <w:rPr>
                <w:rFonts w:asciiTheme="majorHAnsi" w:hAnsiTheme="majorHAnsi"/>
                <w:sz w:val="20"/>
                <w:szCs w:val="20"/>
              </w:rPr>
              <w:t>are urged to apply and will be s</w:t>
            </w:r>
            <w:r w:rsidR="00775030">
              <w:rPr>
                <w:rFonts w:asciiTheme="majorHAnsi" w:hAnsiTheme="majorHAnsi"/>
                <w:sz w:val="20"/>
                <w:szCs w:val="20"/>
              </w:rPr>
              <w:t>eriously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considered. </w:t>
            </w:r>
          </w:p>
          <w:p w:rsidR="003B19BD" w:rsidRDefault="003B19BD" w:rsidP="003B19BD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:rsidR="003B19BD" w:rsidRPr="00466B72" w:rsidRDefault="003B19BD" w:rsidP="003B19BD">
            <w:pPr>
              <w:rPr>
                <w:rFonts w:asciiTheme="majorHAnsi" w:hAnsiTheme="majorHAnsi"/>
                <w:i/>
                <w:sz w:val="20"/>
                <w:szCs w:val="20"/>
                <w:lang w:val="en-CA"/>
              </w:rPr>
            </w:pPr>
            <w:r w:rsidRPr="00466B72">
              <w:rPr>
                <w:rFonts w:asciiTheme="majorHAnsi" w:hAnsiTheme="majorHAnsi"/>
                <w:i/>
                <w:sz w:val="20"/>
                <w:szCs w:val="20"/>
                <w:lang w:val="en-CA"/>
              </w:rPr>
              <w:t>Applications must include a letter of application, an up-to-date curriculum vitae, and confirmation of degree</w:t>
            </w:r>
            <w:r>
              <w:rPr>
                <w:rFonts w:asciiTheme="majorHAnsi" w:hAnsiTheme="majorHAnsi"/>
                <w:i/>
                <w:sz w:val="20"/>
                <w:szCs w:val="20"/>
                <w:lang w:val="en-CA"/>
              </w:rPr>
              <w:t xml:space="preserve"> (Master’s or terminal) if applicable</w:t>
            </w:r>
            <w:r w:rsidRPr="00466B72">
              <w:rPr>
                <w:rFonts w:asciiTheme="majorHAnsi" w:hAnsiTheme="majorHAnsi"/>
                <w:i/>
                <w:sz w:val="20"/>
                <w:szCs w:val="20"/>
                <w:lang w:val="en-CA"/>
              </w:rPr>
              <w:t xml:space="preserve">.  Please also include the names, addresses, phone numbers, and e-mail addresses of three people who will provide letters of reference.  Potential candidates shall send the application package and arrange to have three letters of reference sent to: </w:t>
            </w:r>
          </w:p>
          <w:p w:rsidR="003B19BD" w:rsidRPr="00466B72" w:rsidRDefault="003B19BD" w:rsidP="003B19BD">
            <w:pPr>
              <w:rPr>
                <w:rFonts w:asciiTheme="majorHAnsi" w:hAnsiTheme="majorHAnsi"/>
                <w:i/>
                <w:sz w:val="20"/>
                <w:szCs w:val="20"/>
                <w:lang w:val="en-CA"/>
              </w:rPr>
            </w:pPr>
          </w:p>
          <w:p w:rsidR="003B19BD" w:rsidRPr="00466B72" w:rsidRDefault="003B19BD" w:rsidP="003B19BD">
            <w:pPr>
              <w:jc w:val="center"/>
              <w:rPr>
                <w:rFonts w:asciiTheme="majorHAnsi" w:hAnsiTheme="majorHAnsi"/>
                <w:i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i/>
                <w:sz w:val="20"/>
                <w:szCs w:val="20"/>
                <w:lang w:val="en-CA"/>
              </w:rPr>
              <w:t>Dr. Andrew Mitchell</w:t>
            </w:r>
          </w:p>
          <w:p w:rsidR="003B19BD" w:rsidRPr="00466B72" w:rsidRDefault="003B19BD" w:rsidP="003B19BD">
            <w:pPr>
              <w:jc w:val="center"/>
              <w:rPr>
                <w:rFonts w:asciiTheme="majorHAnsi" w:hAnsiTheme="majorHAnsi"/>
                <w:i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i/>
                <w:sz w:val="20"/>
                <w:szCs w:val="20"/>
                <w:lang w:val="en-CA"/>
              </w:rPr>
              <w:t>The Ivan Curry School of Engineering</w:t>
            </w:r>
          </w:p>
          <w:p w:rsidR="003B19BD" w:rsidRPr="00466B72" w:rsidRDefault="003B19BD" w:rsidP="003B19BD">
            <w:pPr>
              <w:jc w:val="center"/>
              <w:rPr>
                <w:rFonts w:asciiTheme="majorHAnsi" w:hAnsiTheme="majorHAnsi"/>
                <w:i/>
                <w:sz w:val="20"/>
                <w:szCs w:val="20"/>
                <w:lang w:val="en-CA"/>
              </w:rPr>
            </w:pPr>
            <w:r w:rsidRPr="00466B72">
              <w:rPr>
                <w:rFonts w:asciiTheme="majorHAnsi" w:hAnsiTheme="majorHAnsi"/>
                <w:i/>
                <w:sz w:val="20"/>
                <w:szCs w:val="20"/>
                <w:lang w:val="en-CA"/>
              </w:rPr>
              <w:t>Acadia University</w:t>
            </w:r>
          </w:p>
          <w:p w:rsidR="003B19BD" w:rsidRPr="00466B72" w:rsidRDefault="003B19BD" w:rsidP="003B19BD">
            <w:pPr>
              <w:jc w:val="center"/>
              <w:rPr>
                <w:rFonts w:asciiTheme="majorHAnsi" w:hAnsiTheme="majorHAnsi"/>
                <w:i/>
                <w:sz w:val="20"/>
                <w:szCs w:val="20"/>
                <w:lang w:val="en-CA"/>
              </w:rPr>
            </w:pPr>
            <w:r w:rsidRPr="00466B72">
              <w:rPr>
                <w:rFonts w:asciiTheme="majorHAnsi" w:hAnsiTheme="majorHAnsi"/>
                <w:i/>
                <w:sz w:val="20"/>
                <w:szCs w:val="20"/>
                <w:lang w:val="en-CA"/>
              </w:rPr>
              <w:t xml:space="preserve">PO Box </w:t>
            </w:r>
            <w:r>
              <w:rPr>
                <w:rFonts w:asciiTheme="majorHAnsi" w:hAnsiTheme="majorHAnsi"/>
                <w:i/>
                <w:sz w:val="20"/>
                <w:szCs w:val="20"/>
                <w:lang w:val="en-CA"/>
              </w:rPr>
              <w:t>88</w:t>
            </w:r>
            <w:r w:rsidRPr="00466B72">
              <w:rPr>
                <w:rFonts w:asciiTheme="majorHAnsi" w:hAnsiTheme="majorHAnsi"/>
                <w:i/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466B72">
              <w:rPr>
                <w:rFonts w:asciiTheme="majorHAnsi" w:hAnsiTheme="majorHAnsi"/>
                <w:i/>
                <w:sz w:val="20"/>
                <w:szCs w:val="20"/>
                <w:lang w:val="en-CA"/>
              </w:rPr>
              <w:t>Wolfville</w:t>
            </w:r>
            <w:proofErr w:type="spellEnd"/>
            <w:r w:rsidRPr="00466B72">
              <w:rPr>
                <w:rFonts w:asciiTheme="majorHAnsi" w:hAnsiTheme="majorHAnsi"/>
                <w:i/>
                <w:sz w:val="20"/>
                <w:szCs w:val="20"/>
                <w:lang w:val="en-CA"/>
              </w:rPr>
              <w:t>, NS  B4P 2R6</w:t>
            </w:r>
          </w:p>
          <w:p w:rsidR="003B19BD" w:rsidRPr="00466B72" w:rsidRDefault="003B19BD" w:rsidP="003B19BD">
            <w:pPr>
              <w:jc w:val="center"/>
              <w:rPr>
                <w:rFonts w:asciiTheme="majorHAnsi" w:hAnsiTheme="majorHAnsi"/>
                <w:i/>
                <w:sz w:val="20"/>
                <w:szCs w:val="20"/>
                <w:lang w:val="en-CA"/>
              </w:rPr>
            </w:pPr>
            <w:r w:rsidRPr="00466B72">
              <w:rPr>
                <w:rFonts w:asciiTheme="majorHAnsi" w:hAnsiTheme="majorHAnsi"/>
                <w:i/>
                <w:sz w:val="20"/>
                <w:szCs w:val="20"/>
                <w:lang w:val="en-CA"/>
              </w:rPr>
              <w:t>Phone: (902) 585-</w:t>
            </w:r>
            <w:r>
              <w:rPr>
                <w:rFonts w:asciiTheme="majorHAnsi" w:hAnsiTheme="majorHAnsi"/>
                <w:i/>
                <w:sz w:val="20"/>
                <w:szCs w:val="20"/>
                <w:lang w:val="en-CA"/>
              </w:rPr>
              <w:t>1206</w:t>
            </w:r>
          </w:p>
          <w:p w:rsidR="003B19BD" w:rsidRPr="00466B72" w:rsidRDefault="003B19BD" w:rsidP="003B19BD">
            <w:pPr>
              <w:jc w:val="center"/>
              <w:rPr>
                <w:rFonts w:asciiTheme="majorHAnsi" w:hAnsiTheme="majorHAnsi"/>
                <w:i/>
                <w:sz w:val="20"/>
                <w:szCs w:val="20"/>
                <w:lang w:val="en-CA"/>
              </w:rPr>
            </w:pPr>
            <w:r w:rsidRPr="00466B72">
              <w:rPr>
                <w:rFonts w:asciiTheme="majorHAnsi" w:hAnsiTheme="majorHAnsi"/>
                <w:i/>
                <w:sz w:val="20"/>
                <w:szCs w:val="20"/>
                <w:lang w:val="en-CA"/>
              </w:rPr>
              <w:t>Facsimile: (902) 585-</w:t>
            </w:r>
            <w:r>
              <w:rPr>
                <w:rFonts w:asciiTheme="majorHAnsi" w:hAnsiTheme="majorHAnsi"/>
                <w:i/>
                <w:sz w:val="20"/>
                <w:szCs w:val="20"/>
                <w:lang w:val="en-CA"/>
              </w:rPr>
              <w:t>1067</w:t>
            </w:r>
          </w:p>
          <w:p w:rsidR="003B19BD" w:rsidRPr="00466B72" w:rsidRDefault="003B19BD" w:rsidP="003B19BD">
            <w:pPr>
              <w:jc w:val="center"/>
              <w:rPr>
                <w:rFonts w:asciiTheme="majorHAnsi" w:hAnsiTheme="majorHAnsi"/>
                <w:i/>
                <w:sz w:val="20"/>
                <w:szCs w:val="20"/>
                <w:lang w:val="en-CA"/>
              </w:rPr>
            </w:pPr>
            <w:r w:rsidRPr="00466B72">
              <w:rPr>
                <w:rFonts w:asciiTheme="majorHAnsi" w:hAnsiTheme="majorHAnsi"/>
                <w:i/>
                <w:sz w:val="20"/>
                <w:szCs w:val="20"/>
                <w:lang w:val="en-CA"/>
              </w:rPr>
              <w:t xml:space="preserve">e -mail: </w:t>
            </w:r>
            <w:r>
              <w:rPr>
                <w:rFonts w:asciiTheme="majorHAnsi" w:hAnsiTheme="majorHAnsi"/>
                <w:i/>
                <w:sz w:val="20"/>
                <w:szCs w:val="20"/>
                <w:lang w:val="en-CA"/>
              </w:rPr>
              <w:t>engineering</w:t>
            </w:r>
            <w:r w:rsidRPr="00466B72">
              <w:rPr>
                <w:rFonts w:asciiTheme="majorHAnsi" w:hAnsiTheme="majorHAnsi"/>
                <w:i/>
                <w:sz w:val="20"/>
                <w:szCs w:val="20"/>
                <w:lang w:val="en-CA"/>
              </w:rPr>
              <w:t>@acadiau.ca.</w:t>
            </w:r>
          </w:p>
          <w:p w:rsidR="003B19BD" w:rsidRPr="00466B72" w:rsidRDefault="003B19BD" w:rsidP="003B19BD">
            <w:pPr>
              <w:rPr>
                <w:rFonts w:asciiTheme="majorHAnsi" w:hAnsiTheme="majorHAnsi"/>
                <w:i/>
                <w:sz w:val="20"/>
                <w:szCs w:val="20"/>
                <w:lang w:val="en-CA"/>
              </w:rPr>
            </w:pPr>
          </w:p>
          <w:p w:rsidR="003B19BD" w:rsidRPr="00466B72" w:rsidRDefault="003B19BD" w:rsidP="003B19BD">
            <w:pPr>
              <w:rPr>
                <w:rFonts w:asciiTheme="majorHAnsi" w:hAnsiTheme="majorHAnsi"/>
                <w:b/>
                <w:i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en-CA"/>
              </w:rPr>
              <w:t>Closing Date: June 30, 2015</w:t>
            </w:r>
          </w:p>
          <w:p w:rsidR="00C070C3" w:rsidRPr="001A3CCF" w:rsidRDefault="00C070C3" w:rsidP="009D06AA">
            <w:pPr>
              <w:rPr>
                <w:rFonts w:asciiTheme="majorHAnsi" w:hAnsiTheme="majorHAnsi" w:cs="Times New Roman"/>
                <w:sz w:val="20"/>
                <w:szCs w:val="20"/>
                <w:lang w:val="en-CA"/>
              </w:rPr>
            </w:pPr>
          </w:p>
          <w:p w:rsidR="00C64A7D" w:rsidRPr="001A3CCF" w:rsidRDefault="00C64A7D" w:rsidP="009D06AA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1A3CCF">
              <w:rPr>
                <w:rFonts w:asciiTheme="majorHAnsi" w:hAnsiTheme="majorHAnsi" w:cs="Times New Roman"/>
                <w:i/>
                <w:sz w:val="20"/>
                <w:szCs w:val="20"/>
              </w:rPr>
              <w:t>The University invites applications from all qualified individuals; however, Canadians and permanent residents will be given priority.  Acad</w:t>
            </w:r>
            <w:r w:rsidR="0053574D" w:rsidRPr="001A3CCF">
              <w:rPr>
                <w:rFonts w:asciiTheme="majorHAnsi" w:hAnsiTheme="majorHAnsi" w:cs="Times New Roman"/>
                <w:i/>
                <w:sz w:val="20"/>
                <w:szCs w:val="20"/>
              </w:rPr>
              <w:t>i</w:t>
            </w:r>
            <w:r w:rsidRPr="001A3CCF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a University is committed to employment equity and values a diverse and inclusive workplace.  We therefore invite applications from </w:t>
            </w:r>
            <w:r w:rsidR="0053574D" w:rsidRPr="001A3CCF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Aboriginal peoples, African Nova </w:t>
            </w:r>
            <w:proofErr w:type="spellStart"/>
            <w:r w:rsidR="0053574D" w:rsidRPr="001A3CCF">
              <w:rPr>
                <w:rFonts w:asciiTheme="majorHAnsi" w:hAnsiTheme="majorHAnsi" w:cs="Times New Roman"/>
                <w:i/>
                <w:sz w:val="20"/>
                <w:szCs w:val="20"/>
              </w:rPr>
              <w:t>Scotians</w:t>
            </w:r>
            <w:proofErr w:type="spellEnd"/>
            <w:r w:rsidR="0053574D" w:rsidRPr="001A3CCF">
              <w:rPr>
                <w:rFonts w:asciiTheme="majorHAnsi" w:hAnsiTheme="majorHAnsi" w:cs="Times New Roman"/>
                <w:i/>
                <w:sz w:val="20"/>
                <w:szCs w:val="20"/>
              </w:rPr>
              <w:t>, persons with disabilities, visible minorities, and women, as well as persons of any sexual orientation or gender identi</w:t>
            </w:r>
            <w:r w:rsidR="007D6191" w:rsidRPr="001A3CCF">
              <w:rPr>
                <w:rFonts w:asciiTheme="majorHAnsi" w:hAnsiTheme="majorHAnsi" w:cs="Times New Roman"/>
                <w:i/>
                <w:sz w:val="20"/>
                <w:szCs w:val="20"/>
              </w:rPr>
              <w:t>t</w:t>
            </w:r>
            <w:r w:rsidR="0053574D" w:rsidRPr="001A3CCF">
              <w:rPr>
                <w:rFonts w:asciiTheme="majorHAnsi" w:hAnsiTheme="majorHAnsi" w:cs="Times New Roman"/>
                <w:i/>
                <w:sz w:val="20"/>
                <w:szCs w:val="20"/>
              </w:rPr>
              <w:t>y.  Consistent with the principles of employment equity, the primary criterion for appointment to a position</w:t>
            </w:r>
            <w:r w:rsidR="00642B39" w:rsidRPr="001A3CCF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i</w:t>
            </w:r>
            <w:r w:rsidR="0053574D" w:rsidRPr="001A3CCF">
              <w:rPr>
                <w:rFonts w:asciiTheme="majorHAnsi" w:hAnsiTheme="majorHAnsi" w:cs="Times New Roman"/>
                <w:i/>
                <w:sz w:val="20"/>
                <w:szCs w:val="20"/>
              </w:rPr>
              <w:t>s academic and professional excellence.</w:t>
            </w:r>
            <w:r w:rsidR="006631E0" w:rsidRPr="001A3CCF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 Candidates who are a member of one of the aforementioned groups, and who wish to have the application considered as such, should complete the Employment Equity Voluntary Self-Identification Form as part of their application package.</w:t>
            </w:r>
            <w:r w:rsidR="0053574D" w:rsidRPr="001A3CCF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 </w:t>
            </w:r>
          </w:p>
          <w:p w:rsidR="00C64A7D" w:rsidRPr="001A3CCF" w:rsidRDefault="00C64A7D" w:rsidP="009D06A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0126F" w:rsidRPr="001A3CCF" w:rsidTr="009D06AA">
        <w:tc>
          <w:tcPr>
            <w:tcW w:w="11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26F" w:rsidRPr="001A3CCF" w:rsidRDefault="0010126F" w:rsidP="009D06AA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10126F" w:rsidRPr="001A3CCF" w:rsidRDefault="00DA7858" w:rsidP="009D06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A3CCF">
              <w:rPr>
                <w:rFonts w:asciiTheme="majorHAnsi" w:hAnsiTheme="majorHAnsi"/>
                <w:b/>
                <w:i/>
                <w:sz w:val="18"/>
                <w:szCs w:val="18"/>
              </w:rPr>
              <w:t>Acadia University reserves the right not to fill posted positions, subject to budgetary approval and university needs.</w:t>
            </w:r>
          </w:p>
        </w:tc>
      </w:tr>
    </w:tbl>
    <w:p w:rsidR="00C64A7D" w:rsidRPr="001A3CCF" w:rsidRDefault="00C64A7D" w:rsidP="000E343B">
      <w:pPr>
        <w:rPr>
          <w:rFonts w:asciiTheme="majorHAnsi" w:hAnsiTheme="majorHAnsi"/>
          <w:sz w:val="40"/>
          <w:szCs w:val="40"/>
        </w:rPr>
      </w:pPr>
    </w:p>
    <w:sectPr w:rsidR="00C64A7D" w:rsidRPr="001A3CCF" w:rsidSect="00207F6C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Garamond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6C"/>
    <w:rsid w:val="0000755B"/>
    <w:rsid w:val="000B0BA7"/>
    <w:rsid w:val="000E343B"/>
    <w:rsid w:val="0010126F"/>
    <w:rsid w:val="00123A57"/>
    <w:rsid w:val="0016017B"/>
    <w:rsid w:val="001A3CCF"/>
    <w:rsid w:val="001C63FA"/>
    <w:rsid w:val="001E07F5"/>
    <w:rsid w:val="00202CFA"/>
    <w:rsid w:val="00207F6C"/>
    <w:rsid w:val="0027060C"/>
    <w:rsid w:val="00292632"/>
    <w:rsid w:val="002C2F04"/>
    <w:rsid w:val="00327DD9"/>
    <w:rsid w:val="003304B6"/>
    <w:rsid w:val="003B19BD"/>
    <w:rsid w:val="003E4E98"/>
    <w:rsid w:val="00466B72"/>
    <w:rsid w:val="004F23F7"/>
    <w:rsid w:val="00530BE3"/>
    <w:rsid w:val="0053574D"/>
    <w:rsid w:val="0055703C"/>
    <w:rsid w:val="00567ABB"/>
    <w:rsid w:val="00584E1C"/>
    <w:rsid w:val="00595E11"/>
    <w:rsid w:val="00630E3A"/>
    <w:rsid w:val="00642B39"/>
    <w:rsid w:val="006631E0"/>
    <w:rsid w:val="006A3902"/>
    <w:rsid w:val="006C1D49"/>
    <w:rsid w:val="006E6B3A"/>
    <w:rsid w:val="00772385"/>
    <w:rsid w:val="00775030"/>
    <w:rsid w:val="007B2502"/>
    <w:rsid w:val="007D6191"/>
    <w:rsid w:val="008104A1"/>
    <w:rsid w:val="00873E00"/>
    <w:rsid w:val="00890F3F"/>
    <w:rsid w:val="00966568"/>
    <w:rsid w:val="009A1A1C"/>
    <w:rsid w:val="009D06AA"/>
    <w:rsid w:val="00A01A1A"/>
    <w:rsid w:val="00AB392A"/>
    <w:rsid w:val="00AF129D"/>
    <w:rsid w:val="00B305BF"/>
    <w:rsid w:val="00B3087D"/>
    <w:rsid w:val="00C070C3"/>
    <w:rsid w:val="00C55765"/>
    <w:rsid w:val="00C64A7D"/>
    <w:rsid w:val="00C67C58"/>
    <w:rsid w:val="00C95350"/>
    <w:rsid w:val="00D63691"/>
    <w:rsid w:val="00DA7858"/>
    <w:rsid w:val="00E05E94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dobe Garamond Pro" w:eastAsiaTheme="minorHAnsi" w:hAnsi="Adobe Garamond Pro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F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2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dobe Garamond Pro" w:eastAsiaTheme="minorHAnsi" w:hAnsi="Adobe Garamond Pro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F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gineering.acadiau.c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980DD-50DF-4052-81BE-28926DE3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Acadia University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</dc:creator>
  <cp:lastModifiedBy>Acadia User</cp:lastModifiedBy>
  <cp:revision>3</cp:revision>
  <cp:lastPrinted>2015-05-13T16:42:00Z</cp:lastPrinted>
  <dcterms:created xsi:type="dcterms:W3CDTF">2015-06-04T19:46:00Z</dcterms:created>
  <dcterms:modified xsi:type="dcterms:W3CDTF">2015-06-04T19:50:00Z</dcterms:modified>
</cp:coreProperties>
</file>